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0D" w:rsidRPr="00844793" w:rsidRDefault="0061030D" w:rsidP="0061030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sz w:val="24"/>
          <w:szCs w:val="24"/>
        </w:rPr>
        <w:t>Уважаемые коллеги!</w:t>
      </w:r>
    </w:p>
    <w:p w:rsidR="0061030D" w:rsidRPr="00844793" w:rsidRDefault="0061030D" w:rsidP="006103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Pr="00844793" w:rsidRDefault="0061030D" w:rsidP="0061030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1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ноября 2022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г. Тюмени 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при поддержке </w:t>
      </w:r>
      <w:r w:rsidRPr="00844793">
        <w:rPr>
          <w:rFonts w:ascii="Times New Roman" w:eastAsia="Calibri" w:hAnsi="Times New Roman" w:cs="Times New Roman"/>
          <w:bCs/>
          <w:sz w:val="24"/>
          <w:szCs w:val="24"/>
        </w:rPr>
        <w:t>РОАГ</w:t>
      </w:r>
      <w:r w:rsidR="00E11DF8">
        <w:rPr>
          <w:rFonts w:ascii="Times New Roman" w:eastAsia="Calibri" w:hAnsi="Times New Roman" w:cs="Times New Roman"/>
          <w:sz w:val="24"/>
          <w:szCs w:val="24"/>
        </w:rPr>
        <w:t xml:space="preserve"> состоялось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Региональное собрание</w:t>
      </w:r>
      <w:r w:rsidRPr="0084479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акушеров-гинекологов «Первоочередные задачи акушерской практики»</w:t>
      </w:r>
      <w:r w:rsidRPr="008447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30D" w:rsidRPr="00844793" w:rsidRDefault="0061030D" w:rsidP="006103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Pr="00844793" w:rsidRDefault="0061030D" w:rsidP="0061030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b/>
          <w:sz w:val="24"/>
          <w:szCs w:val="24"/>
        </w:rPr>
        <w:t>Организаторы: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30D" w:rsidRDefault="0061030D" w:rsidP="0061030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sz w:val="24"/>
          <w:szCs w:val="24"/>
        </w:rPr>
        <w:t>Департамент здр</w:t>
      </w:r>
      <w:r>
        <w:rPr>
          <w:rFonts w:ascii="Times New Roman" w:eastAsia="Calibri" w:hAnsi="Times New Roman" w:cs="Times New Roman"/>
          <w:sz w:val="24"/>
          <w:szCs w:val="24"/>
        </w:rPr>
        <w:t>авоохранения Тюменской области;</w:t>
      </w:r>
    </w:p>
    <w:p w:rsidR="0061030D" w:rsidRDefault="0061030D" w:rsidP="0061030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sz w:val="24"/>
          <w:szCs w:val="24"/>
        </w:rPr>
        <w:t>Российско</w:t>
      </w:r>
      <w:r>
        <w:rPr>
          <w:rFonts w:ascii="Times New Roman" w:eastAsia="Calibri" w:hAnsi="Times New Roman" w:cs="Times New Roman"/>
          <w:sz w:val="24"/>
          <w:szCs w:val="24"/>
        </w:rPr>
        <w:t>е общество акушеров-гинекологов;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30D" w:rsidRDefault="0061030D" w:rsidP="0061030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FF5F0B">
        <w:rPr>
          <w:rFonts w:ascii="Times New Roman" w:eastAsia="Calibri" w:hAnsi="Times New Roman" w:cs="Times New Roman"/>
          <w:sz w:val="24"/>
          <w:szCs w:val="24"/>
        </w:rPr>
        <w:t xml:space="preserve">едеральное государственное бюджетное образовательное </w:t>
      </w:r>
      <w:r>
        <w:rPr>
          <w:rFonts w:ascii="Times New Roman" w:eastAsia="Calibri" w:hAnsi="Times New Roman" w:cs="Times New Roman"/>
          <w:sz w:val="24"/>
          <w:szCs w:val="24"/>
        </w:rPr>
        <w:t>учреждение высшего образования «</w:t>
      </w:r>
      <w:r w:rsidRPr="00FF5F0B">
        <w:rPr>
          <w:rFonts w:ascii="Times New Roman" w:eastAsia="Calibri" w:hAnsi="Times New Roman" w:cs="Times New Roman"/>
          <w:sz w:val="24"/>
          <w:szCs w:val="24"/>
        </w:rPr>
        <w:t>Тюменский государственный медицинский университет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F5F0B">
        <w:rPr>
          <w:rFonts w:ascii="Times New Roman" w:eastAsia="Calibri" w:hAnsi="Times New Roman" w:cs="Times New Roman"/>
          <w:sz w:val="24"/>
          <w:szCs w:val="24"/>
        </w:rPr>
        <w:t xml:space="preserve"> Министерства здравоохранения Российской Федерации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61030D" w:rsidRPr="00844793" w:rsidRDefault="0061030D" w:rsidP="0061030D">
      <w:pPr>
        <w:pStyle w:val="a3"/>
        <w:spacing w:after="0" w:line="276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Pr="00844793" w:rsidRDefault="0061030D" w:rsidP="006103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b/>
          <w:sz w:val="24"/>
          <w:szCs w:val="24"/>
        </w:rPr>
        <w:t xml:space="preserve">Конгресс-оператор </w:t>
      </w:r>
      <w:r w:rsidRPr="0084479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ООО «РУСМЕДИКАЛ ИВЕНТ», информационная поддержка </w:t>
      </w:r>
      <w:r w:rsidRPr="0084479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научно-практический медицинский рецензируемый журнал «</w:t>
      </w:r>
      <w:proofErr w:type="spellStart"/>
      <w:r w:rsidRPr="00844793">
        <w:rPr>
          <w:rFonts w:ascii="Times New Roman" w:eastAsia="Calibri" w:hAnsi="Times New Roman" w:cs="Times New Roman"/>
          <w:sz w:val="24"/>
          <w:szCs w:val="24"/>
        </w:rPr>
        <w:t>Доктор.Ру</w:t>
      </w:r>
      <w:proofErr w:type="spellEnd"/>
      <w:r w:rsidRPr="00844793">
        <w:rPr>
          <w:rFonts w:ascii="Times New Roman" w:eastAsia="Calibri" w:hAnsi="Times New Roman" w:cs="Times New Roman"/>
          <w:sz w:val="24"/>
          <w:szCs w:val="24"/>
        </w:rPr>
        <w:t>» (</w:t>
      </w:r>
      <w:hyperlink r:id="rId5" w:history="1">
        <w:r w:rsidRPr="0084479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www</w:t>
        </w:r>
        <w:r w:rsidRPr="00844793">
          <w:rPr>
            <w:rFonts w:ascii="Calibri" w:eastAsia="Calibri" w:hAnsi="Calibri" w:cs="Times New Roman"/>
            <w:color w:val="0563C1" w:themeColor="hyperlink"/>
            <w:u w:val="single"/>
          </w:rPr>
          <w:t>.</w:t>
        </w:r>
        <w:r w:rsidRPr="0084479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journaldoctor.ru</w:t>
        </w:r>
      </w:hyperlink>
      <w:r w:rsidRPr="0084479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1030D" w:rsidRDefault="0061030D" w:rsidP="006103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Pr="00844793" w:rsidRDefault="0061030D" w:rsidP="006103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Default="0061030D" w:rsidP="006103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b/>
          <w:sz w:val="24"/>
          <w:szCs w:val="24"/>
        </w:rPr>
        <w:t>Организационный комитет:</w:t>
      </w:r>
      <w:r w:rsidRPr="008447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169D">
        <w:rPr>
          <w:rFonts w:ascii="Times New Roman" w:eastAsia="Calibri" w:hAnsi="Times New Roman" w:cs="Times New Roman"/>
          <w:sz w:val="24"/>
          <w:szCs w:val="24"/>
        </w:rPr>
        <w:t>Кукарская</w:t>
      </w:r>
      <w:proofErr w:type="spellEnd"/>
      <w:r w:rsidRPr="00CD169D">
        <w:rPr>
          <w:rFonts w:ascii="Times New Roman" w:eastAsia="Calibri" w:hAnsi="Times New Roman" w:cs="Times New Roman"/>
          <w:sz w:val="24"/>
          <w:szCs w:val="24"/>
        </w:rPr>
        <w:t xml:space="preserve"> Ирина Ивановна</w:t>
      </w:r>
      <w:r w:rsidRPr="00A93C66">
        <w:rPr>
          <w:rFonts w:ascii="Times New Roman" w:eastAsia="Calibri" w:hAnsi="Times New Roman" w:cs="Times New Roman"/>
          <w:sz w:val="24"/>
          <w:szCs w:val="24"/>
        </w:rPr>
        <w:t>,</w:t>
      </w:r>
      <w:r w:rsidRPr="00CD16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169D">
        <w:rPr>
          <w:rFonts w:ascii="Times New Roman" w:eastAsia="Calibri" w:hAnsi="Times New Roman" w:cs="Times New Roman"/>
          <w:sz w:val="24"/>
          <w:szCs w:val="24"/>
        </w:rPr>
        <w:t>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69D">
        <w:rPr>
          <w:rFonts w:ascii="Times New Roman" w:eastAsia="Calibri" w:hAnsi="Times New Roman" w:cs="Times New Roman"/>
          <w:sz w:val="24"/>
          <w:szCs w:val="24"/>
        </w:rPr>
        <w:t>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69D">
        <w:rPr>
          <w:rFonts w:ascii="Times New Roman" w:eastAsia="Calibri" w:hAnsi="Times New Roman" w:cs="Times New Roman"/>
          <w:sz w:val="24"/>
          <w:szCs w:val="24"/>
        </w:rPr>
        <w:t xml:space="preserve">н., профессор, заслуженный врач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D169D">
        <w:rPr>
          <w:rFonts w:ascii="Times New Roman" w:eastAsia="Calibri" w:hAnsi="Times New Roman" w:cs="Times New Roman"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sz w:val="24"/>
          <w:szCs w:val="24"/>
        </w:rPr>
        <w:t>Тюмень</w:t>
      </w:r>
      <w:r w:rsidRPr="00CD16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30D" w:rsidRPr="00844793" w:rsidRDefault="0061030D" w:rsidP="0061030D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Pr="00844793" w:rsidRDefault="00E11DF8" w:rsidP="006103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>Региональное собрание было</w:t>
      </w:r>
      <w:r w:rsidR="0061030D" w:rsidRPr="008447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посвящено внедрению современных технологий и методик в клиническую практику врачей – акушеров-гинекологов и врачей-эндокринологов для повышения эффективности лечебно-диагностического и профилактического процессов.</w:t>
      </w:r>
    </w:p>
    <w:p w:rsidR="0061030D" w:rsidRPr="00844793" w:rsidRDefault="0061030D" w:rsidP="006103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844793">
        <w:rPr>
          <w:rFonts w:ascii="Times New Roman" w:eastAsia="Calibri" w:hAnsi="Times New Roman" w:cs="Times New Roman"/>
          <w:sz w:val="24"/>
          <w:szCs w:val="24"/>
          <w:lang w:bidi="ru-RU"/>
        </w:rPr>
        <w:t>По итогам образовательно</w:t>
      </w:r>
      <w:r w:rsidR="00E11DF8">
        <w:rPr>
          <w:rFonts w:ascii="Times New Roman" w:eastAsia="Calibri" w:hAnsi="Times New Roman" w:cs="Times New Roman"/>
          <w:sz w:val="24"/>
          <w:szCs w:val="24"/>
          <w:lang w:bidi="ru-RU"/>
        </w:rPr>
        <w:t>го мероприятия участники повысили</w:t>
      </w:r>
      <w:r w:rsidRPr="008447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уровень знаний о региональных особенностях организации медицинской помощи пациентам при бесплодии, современных возможностях репродуктивной медицины, ведени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и</w:t>
      </w:r>
      <w:r w:rsidRPr="008447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беременности высокой группы риска, профилактике осложнений. Полученные знания позволят усовершенствовать профессиональные навыки специалистов практического здравоохранения, что будет способствовать повышению качества и доступности оказания медицинской помощи.</w:t>
      </w:r>
    </w:p>
    <w:p w:rsidR="0061030D" w:rsidRPr="00844793" w:rsidRDefault="00E11DF8" w:rsidP="006103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>Обсуждался</w:t>
      </w:r>
      <w:r w:rsidR="0061030D" w:rsidRPr="0084479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ряд важных вопросов: </w:t>
      </w:r>
      <w:r w:rsidR="0061030D" w:rsidRPr="00FD7184">
        <w:rPr>
          <w:rFonts w:ascii="Times New Roman" w:eastAsia="Calibri" w:hAnsi="Times New Roman" w:cs="Times New Roman"/>
          <w:sz w:val="24"/>
          <w:szCs w:val="24"/>
          <w:lang w:bidi="ru-RU"/>
        </w:rPr>
        <w:t>осложненная беременность</w:t>
      </w:r>
      <w:r w:rsidR="0061030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="0061030D" w:rsidRPr="00FD7184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гормонозависимые состояния, коррекция гормонального фона</w:t>
      </w:r>
      <w:r w:rsidR="0061030D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, </w:t>
      </w:r>
      <w:r w:rsidR="0061030D" w:rsidRPr="00FD7184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актуальные вопросы акушерства и гинекологии.</w:t>
      </w:r>
    </w:p>
    <w:p w:rsidR="0061030D" w:rsidRPr="00844793" w:rsidRDefault="0061030D" w:rsidP="006103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30D" w:rsidRPr="00844793" w:rsidRDefault="0061030D" w:rsidP="0061030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8447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С полной версией научной программы можно ознакомиться на сайте –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proofErr w:type="gramStart"/>
        <w:r w:rsidRPr="009F5EBA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https://gynecology.school/01112022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8447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61030D" w:rsidRDefault="0061030D" w:rsidP="0061030D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221E1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21E1F"/>
          <w:sz w:val="24"/>
          <w:szCs w:val="24"/>
        </w:rPr>
        <w:t xml:space="preserve">            </w:t>
      </w:r>
      <w:r w:rsidRPr="00922BA5">
        <w:rPr>
          <w:rFonts w:ascii="Times New Roman" w:eastAsia="Calibri" w:hAnsi="Times New Roman" w:cs="Times New Roman"/>
          <w:b/>
          <w:color w:val="221E1F"/>
          <w:sz w:val="24"/>
          <w:szCs w:val="24"/>
        </w:rPr>
        <w:t>На</w:t>
      </w:r>
      <w:r w:rsidR="00E11DF8">
        <w:rPr>
          <w:rFonts w:ascii="Times New Roman" w:eastAsia="Calibri" w:hAnsi="Times New Roman" w:cs="Times New Roman"/>
          <w:b/>
          <w:color w:val="221E1F"/>
          <w:sz w:val="24"/>
          <w:szCs w:val="24"/>
        </w:rPr>
        <w:t xml:space="preserve"> конференции с лекциями выступили</w:t>
      </w:r>
      <w:r w:rsidRPr="00922BA5">
        <w:rPr>
          <w:rFonts w:ascii="Times New Roman" w:eastAsia="Calibri" w:hAnsi="Times New Roman" w:cs="Times New Roman"/>
          <w:b/>
          <w:color w:val="221E1F"/>
          <w:sz w:val="24"/>
          <w:szCs w:val="24"/>
        </w:rPr>
        <w:t>:</w:t>
      </w:r>
      <w:r w:rsidRPr="00844793">
        <w:rPr>
          <w:rFonts w:ascii="Times New Roman" w:eastAsia="Calibri" w:hAnsi="Times New Roman" w:cs="Times New Roman"/>
          <w:color w:val="221E1F"/>
          <w:sz w:val="24"/>
          <w:szCs w:val="24"/>
        </w:rPr>
        <w:t xml:space="preserve"> </w:t>
      </w:r>
      <w:proofErr w:type="spellStart"/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Гаспарян</w:t>
      </w:r>
      <w:proofErr w:type="spellEnd"/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Сусанна </w:t>
      </w:r>
      <w:proofErr w:type="spellStart"/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Арташесовна</w:t>
      </w:r>
      <w:proofErr w:type="spellEnd"/>
      <w:r>
        <w:rPr>
          <w:rFonts w:ascii="Times New Roman" w:eastAsia="Calibri" w:hAnsi="Times New Roman" w:cs="Times New Roman"/>
          <w:color w:val="221E1F"/>
          <w:sz w:val="24"/>
          <w:szCs w:val="24"/>
        </w:rPr>
        <w:t>,</w:t>
      </w:r>
      <w:r w:rsidRPr="00D40DA8">
        <w:rPr>
          <w:rFonts w:ascii="Times New Roman" w:eastAsia="Calibri" w:hAnsi="Times New Roman" w:cs="Times New Roman"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д.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м.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н., профессор, 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г. Ставрополь;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Кудрявцева Елена Владимировна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,</w:t>
      </w:r>
      <w:r w:rsidRPr="00D40DA8">
        <w:rPr>
          <w:rFonts w:ascii="Times New Roman" w:eastAsia="Calibri" w:hAnsi="Times New Roman" w:cs="Times New Roman"/>
          <w:b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д.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м.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н., доцент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, г. Екатеринбург; </w:t>
      </w:r>
      <w:proofErr w:type="spellStart"/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Кукарская</w:t>
      </w:r>
      <w:proofErr w:type="spellEnd"/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Ирина Ивановна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,</w:t>
      </w:r>
      <w:r w:rsidRPr="00D40DA8">
        <w:rPr>
          <w:rFonts w:ascii="Times New Roman" w:eastAsia="Calibri" w:hAnsi="Times New Roman" w:cs="Times New Roman"/>
          <w:b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д.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м.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 w:rsidRPr="00D40DA8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н., профессор, г. Тюмень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и др.</w:t>
      </w:r>
    </w:p>
    <w:p w:rsidR="0047309A" w:rsidRDefault="0047309A" w:rsidP="0061030D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221E1F"/>
          <w:sz w:val="24"/>
          <w:szCs w:val="24"/>
        </w:rPr>
      </w:pPr>
    </w:p>
    <w:p w:rsidR="0047309A" w:rsidRPr="0047309A" w:rsidRDefault="0047309A" w:rsidP="0047309A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221E1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В работе мероприятия приняли</w:t>
      </w:r>
      <w:r w:rsidRPr="0047309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участие 85 делегатов: </w:t>
      </w:r>
      <w:r w:rsidR="00203AB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лекторы из 5 городов</w:t>
      </w:r>
      <w:r w:rsidR="005C2791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России</w:t>
      </w:r>
      <w:r w:rsidR="00203AB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, представители </w:t>
      </w:r>
      <w:r w:rsidRPr="0047309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>10 городов и районов Тюменской области</w:t>
      </w:r>
      <w:r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. </w:t>
      </w:r>
      <w:r w:rsidRPr="0047309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 Среди них – врачи – акушеры-гинекол</w:t>
      </w:r>
      <w:r w:rsidR="007835F6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оги, врачи-эндокринологи, </w:t>
      </w:r>
      <w:bookmarkStart w:id="0" w:name="_GoBack"/>
      <w:bookmarkEnd w:id="0"/>
      <w:r w:rsidRPr="0047309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t xml:space="preserve">заведующие профильными отделениями медицинских </w:t>
      </w:r>
      <w:r w:rsidRPr="0047309A">
        <w:rPr>
          <w:rFonts w:ascii="Times New Roman" w:eastAsia="Calibri" w:hAnsi="Times New Roman" w:cs="Times New Roman"/>
          <w:iCs/>
          <w:color w:val="221E1F"/>
          <w:sz w:val="24"/>
          <w:szCs w:val="24"/>
        </w:rPr>
        <w:lastRenderedPageBreak/>
        <w:t xml:space="preserve">учреждений, представители органов управления здравоохранением, студенты медицинских вузов. </w:t>
      </w:r>
    </w:p>
    <w:p w:rsidR="0047309A" w:rsidRDefault="0047309A" w:rsidP="0061030D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221E1F"/>
          <w:sz w:val="24"/>
          <w:szCs w:val="24"/>
        </w:rPr>
      </w:pPr>
    </w:p>
    <w:p w:rsidR="0061030D" w:rsidRPr="00844793" w:rsidRDefault="0061030D" w:rsidP="0061030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1030D" w:rsidRPr="00844793" w:rsidRDefault="0061030D" w:rsidP="006103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793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FD7184">
        <w:rPr>
          <w:rFonts w:ascii="Times New Roman" w:eastAsia="Calibri" w:hAnsi="Times New Roman" w:cs="Times New Roman"/>
          <w:b/>
          <w:bCs/>
          <w:sz w:val="24"/>
          <w:szCs w:val="24"/>
        </w:rPr>
        <w:t>омпании-участники конференции: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ООО </w:t>
      </w:r>
      <w:r w:rsidRPr="00A424EB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A424EB">
        <w:rPr>
          <w:rFonts w:ascii="Times New Roman" w:eastAsia="Calibri" w:hAnsi="Times New Roman" w:cs="Times New Roman"/>
          <w:bCs/>
          <w:sz w:val="24"/>
          <w:szCs w:val="24"/>
        </w:rPr>
        <w:t>Аспен</w:t>
      </w:r>
      <w:proofErr w:type="spellEnd"/>
      <w:r w:rsidRPr="00A424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24EB">
        <w:rPr>
          <w:rFonts w:ascii="Times New Roman" w:eastAsia="Calibri" w:hAnsi="Times New Roman" w:cs="Times New Roman"/>
          <w:bCs/>
          <w:sz w:val="24"/>
          <w:szCs w:val="24"/>
        </w:rPr>
        <w:t>Хэлс</w:t>
      </w:r>
      <w:proofErr w:type="spellEnd"/>
      <w:r w:rsidRPr="00A424EB">
        <w:rPr>
          <w:rFonts w:ascii="Times New Roman" w:eastAsia="Calibri" w:hAnsi="Times New Roman" w:cs="Times New Roman"/>
          <w:bCs/>
          <w:sz w:val="24"/>
          <w:szCs w:val="24"/>
        </w:rPr>
        <w:t>»,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АО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Вифор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(Интернэшнл) Инк.» (Представительство АО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Вифор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(Интернэшнл) Инк.» </w:t>
      </w:r>
      <w:r w:rsidRPr="00A424EB">
        <w:rPr>
          <w:rFonts w:ascii="Times New Roman" w:eastAsia="Calibri" w:hAnsi="Times New Roman" w:cs="Times New Roman"/>
          <w:bCs/>
          <w:sz w:val="24"/>
          <w:szCs w:val="24"/>
        </w:rPr>
        <w:t xml:space="preserve">(Швейцария), ООО «БЕЗЕН ХЕЛСКЕА РУС», ООО «ИНВАР», ООО «Др. </w:t>
      </w:r>
      <w:proofErr w:type="spellStart"/>
      <w:r w:rsidRPr="00A424EB">
        <w:rPr>
          <w:rFonts w:ascii="Times New Roman" w:eastAsia="Calibri" w:hAnsi="Times New Roman" w:cs="Times New Roman"/>
          <w:bCs/>
          <w:sz w:val="24"/>
          <w:szCs w:val="24"/>
        </w:rPr>
        <w:t>Редди'c</w:t>
      </w:r>
      <w:proofErr w:type="spellEnd"/>
      <w:r w:rsidRPr="00A424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424EB">
        <w:rPr>
          <w:rFonts w:ascii="Times New Roman" w:eastAsia="Calibri" w:hAnsi="Times New Roman" w:cs="Times New Roman"/>
          <w:bCs/>
          <w:sz w:val="24"/>
          <w:szCs w:val="24"/>
        </w:rPr>
        <w:t>Лабораторис</w:t>
      </w:r>
      <w:proofErr w:type="spellEnd"/>
      <w:r w:rsidRPr="00A424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A0254" w:rsidRDefault="008A0254"/>
    <w:sectPr w:rsidR="008A0254" w:rsidSect="000D3169"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3724F"/>
    <w:multiLevelType w:val="hybridMultilevel"/>
    <w:tmpl w:val="389622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EC"/>
    <w:rsid w:val="00203ABA"/>
    <w:rsid w:val="0047309A"/>
    <w:rsid w:val="005C2791"/>
    <w:rsid w:val="0061030D"/>
    <w:rsid w:val="007835F6"/>
    <w:rsid w:val="008A0254"/>
    <w:rsid w:val="00C505EC"/>
    <w:rsid w:val="00E1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803BD-E563-488F-B1C8-C07DDE4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0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necology.school/01112022" TargetMode="External"/><Relationship Id="rId5" Type="http://schemas.openxmlformats.org/officeDocument/2006/relationships/hyperlink" Target="http://www.journaldoc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2022-10-31T12:34:00Z</dcterms:created>
  <dcterms:modified xsi:type="dcterms:W3CDTF">2022-11-01T14:43:00Z</dcterms:modified>
</cp:coreProperties>
</file>