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0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Региональное собрание акушеров-гинекологов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поддержке РОАГ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«Актуальные вопросы»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Самара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октября 2024 года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очный формат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before="300" w:after="3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Количество академических часов – </w:t>
      </w:r>
      <w:r>
        <w:rPr>
          <w:rFonts w:ascii="Times New Roman" w:hAnsi="Times New Roman" w:cs="Times New Roman"/>
          <w:i/>
          <w:sz w:val="24"/>
          <w:szCs w:val="24"/>
        </w:rPr>
        <w:t xml:space="preserve">5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763"/>
        <w:jc w:val="both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3"/>
        <w:numPr>
          <w:ilvl w:val="0"/>
          <w:numId w:val="39"/>
        </w:numPr>
        <w:ind w:left="260" w:hanging="260"/>
        <w:jc w:val="both"/>
        <w:spacing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Самарской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63"/>
        <w:numPr>
          <w:ilvl w:val="0"/>
          <w:numId w:val="39"/>
        </w:numPr>
        <w:ind w:left="260" w:hanging="260"/>
        <w:jc w:val="both"/>
        <w:spacing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Российское общество акушеров-гинекологов;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63"/>
        <w:numPr>
          <w:ilvl w:val="0"/>
          <w:numId w:val="39"/>
        </w:numPr>
        <w:ind w:left="260" w:hanging="260"/>
        <w:jc w:val="both"/>
        <w:spacing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«Самарский государственный медицинский университет» Министерства здравоохранения Российской Федерации.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Конгресс-оператор: </w:t>
      </w:r>
      <w:r>
        <w:rPr>
          <w:rFonts w:ascii="Times New Roman" w:hAnsi="Times New Roman" w:cs="Times New Roman"/>
          <w:sz w:val="24"/>
          <w:szCs w:val="24"/>
        </w:rPr>
        <w:t xml:space="preserve">ООО «ГК «РУСМЕДИКАЛ».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bCs/>
          <w:sz w:val="24"/>
          <w:szCs w:val="24"/>
        </w:rPr>
        <w:t xml:space="preserve">25 октября </w:t>
      </w:r>
      <w:r>
        <w:rPr>
          <w:rFonts w:ascii="Times New Roman" w:hAnsi="Times New Roman" w:cs="Times New Roman"/>
          <w:sz w:val="24"/>
          <w:szCs w:val="24"/>
        </w:rPr>
        <w:t xml:space="preserve">2024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г. Самара,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ул. Ново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Садовая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162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Realliance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Hotel Samara).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r>
    </w:p>
    <w:p>
      <w:pPr>
        <w:jc w:val="both"/>
        <w:spacing w:after="100" w:line="276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Сайт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: </w:t>
      </w:r>
      <w:hyperlink r:id="rId9" w:tooltip="https://gynecology.school/events/regionalnoe-sobranie-akusherov-ginekologov-pri-podderzhke-roag/" w:history="1">
        <w:r>
          <w:rPr>
            <w:rStyle w:val="776"/>
            <w:rFonts w:ascii="Times New Roman" w:hAnsi="Times New Roman" w:cs="Times New Roman"/>
            <w:bCs/>
            <w:sz w:val="24"/>
            <w:szCs w:val="24"/>
            <w:shd w:val="clear" w:color="auto" w:fill="ffffff"/>
            <w:lang w:val="en-US"/>
          </w:rPr>
          <w:t xml:space="preserve">https://gynecology.school/events/regionalnoe-sobranie-akusherov-ginekologov-pri-podderzhke-roag/</w:t>
        </w:r>
      </w:hyperlink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r>
    </w:p>
    <w:p>
      <w:pPr>
        <w:pStyle w:val="759"/>
        <w:jc w:val="both"/>
        <w:spacing w:after="100" w:line="276" w:lineRule="auto"/>
      </w:pPr>
      <w:r>
        <w:rPr>
          <w:b/>
        </w:rPr>
        <w:t xml:space="preserve">Аудитория:</w:t>
      </w:r>
      <w:r>
        <w:rPr>
          <w:bCs/>
        </w:rPr>
        <w:t xml:space="preserve"> </w:t>
      </w:r>
      <w:r>
        <w:t xml:space="preserve">акушеры-гинекологи, эндокринологи, врачи общей практики (семейные врачи).</w:t>
      </w:r>
      <w:r/>
    </w:p>
    <w:p>
      <w:pPr>
        <w:jc w:val="both"/>
        <w:spacing w:after="100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Образовательные цели: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усвоение опыта веду</w:t>
      </w:r>
      <w:r>
        <w:rPr>
          <w:rFonts w:ascii="Times New Roman" w:hAnsi="Times New Roman" w:cs="Times New Roman"/>
          <w:sz w:val="24"/>
          <w:szCs w:val="24"/>
        </w:rPr>
        <w:t xml:space="preserve">щих специалистов отрасли и внедрение современных технологий и методик в клиническую практику акушеров-гинекологов, эндокринологов и врачей общей практики (семейных врачей) для повышения эффективности лечебно-диагностического и профилактического процессов. </w:t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pStyle w:val="759"/>
        <w:jc w:val="both"/>
        <w:spacing w:after="100" w:line="276" w:lineRule="auto"/>
      </w:pPr>
      <w:r>
        <w:tab/>
        <w:t xml:space="preserve">По итогам участия в региональном собрании слушатели</w:t>
      </w:r>
      <w:r>
        <w:rPr>
          <w:b/>
        </w:rPr>
        <w:t xml:space="preserve"> </w:t>
      </w:r>
      <w:r>
        <w:t xml:space="preserve">смогут составлять алгоритмы обследования, интерпретировать результаты клинических, лабораторных и инструментальных исследований, производ</w:t>
      </w:r>
      <w:r>
        <w:t xml:space="preserve">ить своевременную терапию выявленных нарушений и выбирать тактику ведения акушерских и гинекологических пациенток, осуществлять контроль эффективности лечения и при необходимости корректировать его. Участники смогут применять междисциплинарный подход к вед</w:t>
      </w:r>
      <w:r>
        <w:t xml:space="preserve">ению беременности и родов высокого риска, терапии гинекологических заболеваний, что будет способствовать снижению числа осложнений, репродуктивных потерь, повышению качества оказания квалифицированной помощи и улучшению здоровья и качества жизни пациенток.</w:t>
      </w:r>
      <w:r/>
    </w:p>
    <w:p>
      <w:pPr>
        <w:pStyle w:val="759"/>
        <w:jc w:val="both"/>
        <w:spacing w:after="40" w:line="276" w:lineRule="auto"/>
      </w:pPr>
      <w:r>
        <w:tab/>
        <w:t xml:space="preserve">К рассмотрению планируются вопросы: возможности совершенствования оказания медицинской помощи женщинам и детям, вспомогательные репродуктивные технологии, </w:t>
      </w:r>
      <w:r>
        <w:rPr>
          <w:bCs/>
        </w:rPr>
        <w:t xml:space="preserve">основные задачи мониторинга критических акушерских состояний, </w:t>
      </w:r>
      <w:r>
        <w:rPr>
          <w:bCs/>
        </w:rPr>
        <w:t xml:space="preserve">р</w:t>
      </w:r>
      <w:r>
        <w:rPr>
          <w:bCs/>
        </w:rPr>
        <w:t xml:space="preserve">оль общепринятых лабораторных методов обследования в прогнозировании тромбозов </w:t>
      </w:r>
      <w:r>
        <w:rPr>
          <w:bCs/>
        </w:rPr>
        <w:t xml:space="preserve">у беременных с коронавирусной инфекцией, </w:t>
      </w:r>
      <w:r>
        <w:rPr>
          <w:bCs/>
        </w:rPr>
        <w:t xml:space="preserve">микробиота </w:t>
      </w:r>
      <w:r>
        <w:rPr>
          <w:bCs/>
        </w:rPr>
        <w:t xml:space="preserve">фетоплацентарного</w:t>
      </w:r>
      <w:r>
        <w:rPr>
          <w:bCs/>
        </w:rPr>
        <w:t xml:space="preserve"> комплекса при преждевременном разрыве плодных оболочек, </w:t>
      </w:r>
      <w:r>
        <w:t xml:space="preserve">ультразвуковое исследование в диагностике хорионэпителиомы</w:t>
      </w:r>
      <w:r>
        <w:rPr>
          <w:rFonts w:eastAsia="Calibri"/>
        </w:rPr>
        <w:t xml:space="preserve">, </w:t>
      </w:r>
      <w:r>
        <w:t xml:space="preserve">безопасная хирургия яичников, тактика ведения пациенток с аномальными маточными кровотечениями, вагинальными выделениями.</w:t>
      </w:r>
      <w:r/>
    </w:p>
    <w:p>
      <w:pPr>
        <w:pStyle w:val="759"/>
        <w:jc w:val="both"/>
        <w:spacing w:before="160" w:after="160" w:line="276" w:lineRule="auto"/>
        <w:rPr>
          <w:b/>
        </w:rPr>
      </w:pPr>
      <w:r>
        <w:rPr>
          <w:b/>
        </w:rPr>
        <w:t xml:space="preserve">НАУЧНЫЙ РУКОВОДИТЕЛЬ</w:t>
      </w:r>
      <w:r>
        <w:rPr>
          <w:b/>
        </w:rPr>
      </w:r>
    </w:p>
    <w:tbl>
      <w:tblPr>
        <w:tblStyle w:val="762"/>
        <w:tblW w:w="9639" w:type="dxa"/>
        <w:tblBorders>
          <w:left w:val="none" w:color="auto" w:sz="4" w:space="0"/>
          <w:right w:val="none" w:color="auto" w:sz="4" w:space="0"/>
          <w:insideV w:val="none" w:color="auto" w:sz="4" w:space="0"/>
        </w:tblBorders>
        <w:tblLook w:val="04A0" w:firstRow="1" w:lastRow="0" w:firstColumn="1" w:lastColumn="0" w:noHBand="0" w:noVBand="1"/>
      </w:tblPr>
      <w:tblGrid>
        <w:gridCol w:w="9639"/>
      </w:tblGrid>
      <w:tr>
        <w:trPr>
          <w:trHeight w:val="1221"/>
        </w:trPr>
        <w:tc>
          <w:tcPr>
            <w:tcW w:w="9639" w:type="dxa"/>
            <w:textDirection w:val="lrTb"/>
            <w:noWrap w:val="false"/>
          </w:tcPr>
          <w:p>
            <w:pPr>
              <w:pStyle w:val="763"/>
              <w:jc w:val="bot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Спиридонова Наталья Владимировна –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 м. н., профессор,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главный внештатный специалист по гинекологии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Министерства здравоохранения Самарской области,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заведующая кафедрой акушерства и гинекологии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ИПО 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Самара.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pStyle w:val="759"/>
        <w:jc w:val="both"/>
        <w:spacing w:before="160" w:after="160" w:line="276" w:lineRule="auto"/>
        <w:rPr>
          <w:b/>
        </w:rPr>
      </w:pPr>
      <w:r>
        <w:rPr>
          <w:b/>
        </w:rPr>
        <w:t xml:space="preserve">СОРУКОВОДИТЕЛЬ НАУЧНОЙ ПРОГРАММЫ</w:t>
      </w:r>
      <w:r>
        <w:rPr>
          <w:b/>
        </w:rPr>
      </w:r>
    </w:p>
    <w:tbl>
      <w:tblPr>
        <w:tblStyle w:val="762"/>
        <w:tblW w:w="9639" w:type="dxa"/>
        <w:tblBorders>
          <w:left w:val="none" w:color="auto" w:sz="4" w:space="0"/>
          <w:right w:val="none" w:color="auto" w:sz="4" w:space="0"/>
          <w:insideV w:val="none" w:color="auto" w:sz="4" w:space="0"/>
        </w:tblBorders>
        <w:tblLook w:val="04A0" w:firstRow="1" w:lastRow="0" w:firstColumn="1" w:lastColumn="0" w:noHBand="0" w:noVBand="1"/>
      </w:tblPr>
      <w:tblGrid>
        <w:gridCol w:w="9639"/>
      </w:tblGrid>
      <w:tr>
        <w:trPr>
          <w:trHeight w:val="739"/>
        </w:trPr>
        <w:tc>
          <w:tcPr>
            <w:tcW w:w="9639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Баранов Игорь Иванович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 м. н., профессор, заведующий отделом научно-образовательных программ ФГБУ «НМИЦ АГП им. В.И. Кулакова» Минздрава России, вице-президент РОАГ,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Москва.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before="20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ДОКЛАДЧИКИ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62"/>
        <w:tblW w:w="9639" w:type="dxa"/>
        <w:tblBorders>
          <w:top w:val="single" w:color="000000" w:themeColor="text1" w:sz="4" w:space="0"/>
          <w:left w:val="none" w:color="auto" w:sz="4" w:space="0"/>
          <w:bottom w:val="single" w:color="000000" w:themeColor="text1" w:sz="4" w:space="0"/>
          <w:right w:val="none" w:color="auto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9639"/>
      </w:tblGrid>
      <w:tr>
        <w:trPr>
          <w:trHeight w:val="603"/>
        </w:trPr>
        <w:tc>
          <w:tcPr>
            <w:tcW w:w="9639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 xml:space="preserve">Балтер Регина Борисовна – 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д. м. н., профессор, заведующая кафедрой ультразвуковой диагностики ИПО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г. Самара.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20 лет, по специальности «Ультразвуковая диагностика»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– 15 лет, педагогический стаж – 20 лет.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влияние техногенной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нагрузки среды обитания на гинекологическое здоровье женщин, бактериальный вагиноз и его влияние на течение беременности и родов, ультразвуковая диагностика в акушерстве и гинекологии, пренатальная диагностика и мониторинг внутриутробных пороков развития.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5/151/241.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rPr>
          <w:trHeight w:val="599"/>
        </w:trPr>
        <w:tc>
          <w:tcPr>
            <w:tcW w:w="9639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Вдовенко Сергей Анатольевич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к. м. н., врио первого заместителя министра здравоохранения Самарской области 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Департамента организации медицинской помощи населению Министерства здравоохранения Самарской области, заслуженный врач республики Ингушетия, г. Самара.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«Организация здравоохранения» – 27 лет,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«Акушерство и гинекология» – 25 лет,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педагогический стаж 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15 лет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модернизация организации здравоохранения, перинатальная помощь, бесплодный брак.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6/92/135.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99"/>
        </w:trPr>
        <w:tc>
          <w:tcPr>
            <w:tcW w:w="9639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Каганова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Мария Александровна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 м. н., доцент, профессор кафедры акушерства и гинекологии ИПО 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г. Самара.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19 лет,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педагогический стаж – 11 лет.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клинико-иммунологические аспекты хронических воспалительных заболеваний придатков матки, микробиота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фетоплацентарного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комплекса, иммунологические и микробиологические аспекты патогенеза преждевременного разрыва плодных оболочек,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хориоамнионит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5/74/125.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599"/>
        </w:trPr>
        <w:tc>
          <w:tcPr>
            <w:tcW w:w="9639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Казакова Анна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д. м. н., доцент, заведующая кафедрой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акушерства и гинекологии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Института педиатрии ИПО 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Самара.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21 год,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педагогический стаж – 17 лет.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клинико-метаболические нарушения при гестозах и их прогнозирование, детская и подростковая гинекология, менархе, нарушение биоценоза влагалища,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вульвовагинальный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кандидоз у детей и подростков, вопросы контрацепции.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7/100/208.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599"/>
        </w:trPr>
        <w:tc>
          <w:tcPr>
            <w:tcW w:w="9639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Лиходедова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Вера Александровна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к. м. н.,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лавный внештатный специалист по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акушерству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Министерства здравоохранения Самарской области, главный врач ГБУЗ СО «Сызранская ЦГРБ», г. Сызрань.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24 года.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организация и контроль качества медицинской помощи, критические акушерские состояния, ведение беременности группы высокого риска, клинико-патогенетическое обоснование сосудистых осложнений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гестации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прогнозирование и профилактика осложнений течения беременности.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1/23/2.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99"/>
        </w:trPr>
        <w:tc>
          <w:tcPr>
            <w:tcW w:w="9639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 xml:space="preserve">Лужнова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 xml:space="preserve"> Татьяна Павловна –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к. м. н., ассистент кафедры ультразвуковой диагностики ИПО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врач ультразвуковой диагностики отделения ультразвуковой диагностики ГБУЗ СОКОД, г. Самара.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по специальности «Ультразвуковая диагностика»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– 14 лет, педагогический стаж –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3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скрининговое ультразвуковое обследование, доброкачественные образования молочных желез, щитовидной железы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ультразвуковая диагностика органов ЖКТ, ультразвуковая диагностика в гинекологии и онкологии.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1/13/4.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99"/>
        </w:trPr>
        <w:tc>
          <w:tcPr>
            <w:tcW w:w="963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Михальченко Светлана Васильевна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доцент, профессор кафедры акушерства и гинекологии ИПО 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Самара.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31 год,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педагогический стаж – 27 лет.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антенатальная охрана плода, организация здравоохранения, улучшение перинатальных исходов у беременных высокой группы риска, критические состояния в акушерстве.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5/41/167.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599"/>
        </w:trPr>
        <w:tc>
          <w:tcPr>
            <w:tcW w:w="963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Моисеева Ирина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к. м. н., главный внештатный специалист ПФО и Министерства здравоохранения Самарской области по репродуктивному здоровью женщин, доцент кафедры акушерства и гинекологии ИПО, доцент кафедры ультразвуковой диагностики 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заведующая отделением вспомогательных репродуктивных технологий ГБУЗ «МЦ Династия», г. Самара.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34 года,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педагогический стаж – 9 лет.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вспомогательные репродуктивные технологии в лечении женского и мужского бесплодия, сосудистые осложнения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гестации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преэклампсия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оценка функций эндотелия в прогнозе 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преэклампсии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ультразвуковая диагностика в акушерстве и гинекологии.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4/38/143.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99"/>
        </w:trPr>
        <w:tc>
          <w:tcPr>
            <w:tcW w:w="9639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Прохорова Ольга Валентиновна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доцент, доцент кафедры акушерства и гинекологии с курсом медицинской генетики ФГБОУ ВО УГМУ Минздрава России,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Екатеринбург.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22 года,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педагогический стаж – 17 лет.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гинекологическая эндокринология, патология шейки матки, лазерная медицина в гинекологической практике,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прегравидарная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5/74/132.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599"/>
        </w:trPr>
        <w:tc>
          <w:tcPr>
            <w:tcW w:w="963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Пустотина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Ольга Анатольевна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д. м. н., профессор кафедры акушерства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гинекологии с курсом репродуктивной медицины ЧОУ ДПО «Академия медицинского образования им. Ф.И. Иноземцева» (г. Санкт-Петербург), руководитель научно-образовательного проекта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Экспертология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(г. Москва), профессор Международной Академии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Репродуктологии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(г. Алматы).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Общий стаж по специальности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«Акушерство и гинекология»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– 33 года, педагогический стаж – 16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лет.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Основные направления научной деятельности: ведение осложненной беременности,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прегравидарная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подготовка,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микронутриентная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поддержка на этапе подготовки к беременности, во время беременности и в послеродовой период; бесплодие,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невынашивание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беременности, синдром поликистозных яичников, эндометриоз, миома матки,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перименопаузальные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расстройства.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15/111/1030.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99"/>
        </w:trPr>
        <w:tc>
          <w:tcPr>
            <w:tcW w:w="9639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Спиридонова Наталья Владимировна –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 м. н., профессор,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главный внештатный специалист по гинекологии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Министерства здравоохранения Самарской области,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заведующая кафедрой акушерства и гинекологии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ИПО 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Самара.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27 лет,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педагогический стаж – 27 лет.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экстрагенитальная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патология и беременность, миома матки, аномальные маточные кровотечения, железодефицитная анемия у женщин репродуктивного возраста.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9/180/543.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599"/>
        </w:trPr>
        <w:tc>
          <w:tcPr>
            <w:tcW w:w="9639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Тугушев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Марат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Талгатович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к. м. н., доцент, заведующий кафедрой репродуктивной медицины, клинической эмбриологии и генетики ИПО 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главный врач АО «Медицинская компания ИДК» (ГК «Мать и дитя»), заслуженный работник здравоохранения РФ, г. Самара.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«Хирургия» – 34 года, по специальности «Акушерство и гинекология» – 32 года,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педагогический стаж – 31 год.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вспомогательные репродуктивные технологии, репродуктивная хирургия, репродуктивная генетика, клиническая эмбриология, синдром поликистозных яичников.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4/32/69.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599"/>
        </w:trPr>
        <w:tc>
          <w:tcPr>
            <w:tcW w:w="9639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Хуртова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Елена Федоровна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аспирант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кафедр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акушерства и гинекологии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ИПО ФГБОУ 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СамГМУ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Минздрава России,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Самара.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Общий стаж по специальности «Акушерство и гинекология»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 лет.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направления научной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прогнозирование тромботических осложнений у беременных с коронавирусной инфекцией.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РИНЦ: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Хирш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/число публикаций/цитирования: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1/17/3.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200"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before="200" w:after="240" w:line="276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НАУЧНАЯ ПРОГРАММА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(время Самары)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</w:r>
    </w:p>
    <w:tbl>
      <w:tblPr>
        <w:tblStyle w:val="762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8079"/>
      </w:tblGrid>
      <w:tr>
        <w:trPr>
          <w:trHeight w:val="20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09: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00–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10:0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Регистрация участников регионального собрания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561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10:0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0–10: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Открытие. Приветственные слова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1011"/>
        </w:trPr>
        <w:tc>
          <w:tcPr>
            <w:gridSpan w:val="2"/>
            <w:tcW w:w="9668" w:type="dxa"/>
            <w:textDirection w:val="lrTb"/>
            <w:noWrap w:val="false"/>
          </w:tcPr>
          <w:p>
            <w:pPr>
              <w:pStyle w:val="763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763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Пленарное заседание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477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10:1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0–10: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Вопросы совершенствования оказания медицинской помощи женщинам и детям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Самарской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Вдовенко Сергей Анатоль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евич (Самара)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Ожидаемый образовательный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отраженные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докладе аспекты работы акушерско-гинекологической службы Самарской области позволят составить актуальное представление об эффективности проводимых мероприятий, а также обозначить перспективы совершенствования оказания медицинской помощи матерям и детям.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 обсуждены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3"/>
              <w:numPr>
                <w:ilvl w:val="0"/>
                <w:numId w:val="32"/>
              </w:numPr>
              <w:ind w:left="455" w:hanging="280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достижения службы в плане снижения показателей детской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материнской смертности и увеличения показателей благоприятных исходов беременности и родов;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2"/>
              </w:numPr>
              <w:ind w:left="455" w:hanging="280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статистика осложнений в ходе беременности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родов, послеродовом периоде, алгоритмы маршрутизации;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2"/>
              </w:numPr>
              <w:ind w:left="455" w:hanging="280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планы по развитию службы и улучшению качества оказания квалифицированной медицинской помощи матерям и детям.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427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10:4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Критические акушерские состояния: основные задачи мониторинга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Лих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одедова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Вера Александровна (Сыз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рань)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Ожидаемый образовательный результат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участники усовершенствуют навыки прогнозирования и профилактики критических акушерских состояний (КАС), что будет способствовать снижению числа осложнений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перинатальных потерь.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 рассмотрены вопросы: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3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факторы риска возникновения КАС,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современные методы прогнозирования и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3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аспекты мониторинга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3"/>
              <w:numPr>
                <w:ilvl w:val="0"/>
                <w:numId w:val="33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алгоритмы маршрутизации и врачебной тактики при возникновении КАС.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712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11:1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660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11:15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Перерыв. Посещение выставки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660"/>
        </w:trPr>
        <w:tc>
          <w:tcPr>
            <w:gridSpan w:val="2"/>
            <w:tcW w:w="9668" w:type="dxa"/>
            <w:textDirection w:val="lrTb"/>
            <w:noWrap w:val="false"/>
          </w:tcPr>
          <w:p>
            <w:pPr>
              <w:pStyle w:val="763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en-US"/>
              </w:rPr>
            </w:r>
          </w:p>
          <w:p>
            <w:pPr>
              <w:pStyle w:val="763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en-US"/>
              </w:rPr>
              <w:t xml:space="preserve">Симпозиум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en-US"/>
              </w:rPr>
            </w:r>
          </w:p>
          <w:p>
            <w:pPr>
              <w:pStyle w:val="763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en-US"/>
              </w:rPr>
              <w:t xml:space="preserve">«Факторы риска гормонозависимых состояний и заболеваний: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en-US"/>
              </w:rPr>
            </w:r>
          </w:p>
          <w:p>
            <w:pPr>
              <w:pStyle w:val="763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en-US"/>
              </w:rPr>
              <w:t xml:space="preserve">от репродуктивного возраста к менопаузе. Что можно сделать?»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en-US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(при поддержке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ООО «Эбботт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Лэбораториз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», не входит 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программу для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660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Что стоит за НМЦ? Тактика врача по выбору варианта лечения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Спиридонова Наталья Владимировна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(Самара)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660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Эндометриоз длиною в жизнь. От теории к практике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Казакова Анна Владимировна (Самара)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660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Терапия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перименопаузальных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расстройств в свете новых клинических рекомендаций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Прохорова Ольга Валентиновна (Екатеринбург)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660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Выбор МГТ в постменопаузе: возможности поддержания гормонального баланса женщины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Спиридонова Наталья Владимировна (Самара)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660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МГТ в постменопаузе: терапевтические стратегии превенции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Прохорова Ольга Валентиновна (Екатеринбург)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660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Альтернативные возможности коррекции менопаузальных расстройств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Михальченко Светлана Васильевна (Самара)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660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660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en-US"/>
              </w:rPr>
              <w:t xml:space="preserve">Перерыв, кофе-брейк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134"/>
        </w:trPr>
        <w:tc>
          <w:tcPr>
            <w:gridSpan w:val="2"/>
            <w:tcW w:w="9668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«Актуальные вопросы акушерства и гинекологии.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Профилактика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осложнений.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реконцепционная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подготовка в зависимости от группы риска»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56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Ведение беременности и послеродового периода у женщин с повышенной массой тела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Пустотина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Ольга Анатольевна (Москва)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Доклад при поддержке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АО «БАЙЕР» (не входит 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программу для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716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Прегравидарная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подготовка и ведение беременности у женщин с выкидышем в анамнезе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Спиридонова Наталья Владимировна (Самара)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Доклад при поддержке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АО «БАЙЕР» (не входит 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программу для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563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9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Три этапа ведения женщин с АМК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Пустотина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Ольга Анатольевна (Москва)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Ожидаемый образовательный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участники смогут освоить тактику ведения пациенток с аномальными маточными кровотечениями (АМК).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обсуждены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r>
          </w:p>
          <w:p>
            <w:pPr>
              <w:pStyle w:val="763"/>
              <w:numPr>
                <w:ilvl w:val="0"/>
                <w:numId w:val="37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патогенез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3"/>
              <w:numPr>
                <w:ilvl w:val="0"/>
                <w:numId w:val="37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АМК;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3"/>
              <w:numPr>
                <w:ilvl w:val="0"/>
                <w:numId w:val="37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этапы ведения пациенток с АМК в зависимости от причин возникновения.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563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Вагинальные выделения: различные причины и универсальные подходы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Пустотина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Ольга Анатольевна (Москва)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769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Ожидаемый образовательный результат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участники усовершенствуют тактику ведения пациенток с вагинальными выделениями.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рассмотрены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вопросы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r>
          </w:p>
          <w:p>
            <w:pPr>
              <w:pStyle w:val="763"/>
              <w:numPr>
                <w:ilvl w:val="0"/>
                <w:numId w:val="38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многообразие причин вагинальных выделений;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8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трудности диагностики и постановки корректного диагноза;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8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универсальные подходы к терапии, профилактика рецидивов.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59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rPr>
          <w:trHeight w:val="1011"/>
        </w:trPr>
        <w:tc>
          <w:tcPr>
            <w:gridSpan w:val="2"/>
            <w:tcW w:w="9668" w:type="dxa"/>
            <w:textDirection w:val="lrTb"/>
            <w:noWrap w:val="false"/>
          </w:tcPr>
          <w:p>
            <w:pPr>
              <w:pStyle w:val="763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«Стратегия профилактики гинекологических заболеваний и репродуктивных потерь»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477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ВРТ сегодня и завтра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Моисеева Ирина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(Самара)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Ожидаемый образовательный результат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участники повысят уровень знаний о современных возможностях вспомогательных репродуктивных технологий (ВРТ).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обсуждены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5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репродуктивный потенциал современного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3"/>
              <w:numPr>
                <w:ilvl w:val="0"/>
                <w:numId w:val="35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эволюция методов ВРТ и актуальные возможности сохранения репродуктивной функции;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5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перспективы развития и широкого внедрения.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560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Безопасная хирургия яичников. Такое возможно?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Тугушев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Марат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Талгатович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(Самара)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Ожидаемый образовательный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участники систематизируют информацию и получат новые сведения о безопасной хирургии яичников.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рассмотрены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r>
          </w:p>
          <w:p>
            <w:pPr>
              <w:pStyle w:val="763"/>
              <w:numPr>
                <w:ilvl w:val="0"/>
                <w:numId w:val="36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актуальные данные о влиянии хирургических операций на яичниках на репродуктивную функцию;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6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показания к оперативному вмешательству при различных заболеваниях яичников;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6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современный подход к выбору метода проведения операций, новые возможности, сведения об эффективности и безопасности;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6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постоперационный период, методы восстановления репродуктивной функции.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316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16: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Микробиота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фетоплацентарного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комплекса при преждевременном разрыве плодных оболочек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Каганова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(Самара)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жидаемый образовательный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участники актуализируют знания о составе микробиоты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фетоплацентарного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комплекса при преждевременном разрыве плодных оболочек (ПРПО).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contextualSpacing/>
              <w:jc w:val="both"/>
              <w:spacing w:after="1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обсуждены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3"/>
              <w:numPr>
                <w:ilvl w:val="0"/>
                <w:numId w:val="34"/>
              </w:numPr>
              <w:ind w:left="455" w:hanging="28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ПРПО: причины, факторы риска;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4"/>
              </w:numPr>
              <w:ind w:left="455" w:hanging="28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представления о проблеме на основании последних научных исследований;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4"/>
              </w:numPr>
              <w:ind w:left="455" w:hanging="280"/>
              <w:jc w:val="both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сведения о микробиоте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фетоплацентарного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комплекса при ПРПО, возможности прогнозирования.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353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1011"/>
        </w:trPr>
        <w:tc>
          <w:tcPr>
            <w:gridSpan w:val="2"/>
            <w:tcW w:w="9668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Консилиум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shd w:val="clear" w:color="auto" w:fill="ffffff"/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«Разбираем сложные клинические ситуации. Ответы – в клинических рекомендациях»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763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1011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Своевременная диагностика хорионэпителиомы: чем может помочь ультразвуковое исследование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Балтер Регина Борисовна,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Лужнова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Татьяна Павловна (Самара)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Ожидаемый образовательный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участники усовершенствуют навыки ультразвуковой диагностики хорионэпителиомы.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рассмотрены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 xml:space="preserve"> вопросы: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763"/>
              <w:numPr>
                <w:ilvl w:val="0"/>
                <w:numId w:val="36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хорионэпителиома: патогенез, частота встречаемости, факторы риска;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6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важность своевременной диагностики в прогнозе лечения;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6"/>
              </w:numPr>
              <w:ind w:left="459" w:hanging="284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исследований для выявления, значение ультразвукового исследования в постановке корректного диагноза;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6"/>
              </w:numPr>
              <w:ind w:left="459" w:hanging="284"/>
              <w:jc w:val="both"/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алгоритм УЗ-диагностики, анализ результатов исследования.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 xml:space="preserve">Разбор клинической ситуации по теме. Дискуссия, ответы на вопросы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1011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Роль общепринятых лабораторных методов обследования в прогнозировании тромбозов при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COVID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Хуртова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Федоровна,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Спиридонова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Наталья Владимировна (Самара)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pStyle w:val="763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жидаемый образовательный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участники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повысят уровень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знаний о прогнозировании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тромбозов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беременных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COVID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contextualSpacing/>
              <w:jc w:val="both"/>
              <w:spacing w:after="1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Будут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обсуждены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вопросы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63"/>
              <w:numPr>
                <w:ilvl w:val="0"/>
                <w:numId w:val="34"/>
              </w:numPr>
              <w:ind w:left="455" w:hanging="28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коронавирусная инфекция как фактор риска образования тромбозов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4"/>
              </w:numPr>
              <w:ind w:left="455" w:hanging="28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влияние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COVID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течение беременности и исход родов;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4"/>
              </w:numPr>
              <w:ind w:left="455" w:hanging="28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методы прогнозирования тромботических осложнений у беременных с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COVID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роль лабораторных методов исследования;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63"/>
              <w:numPr>
                <w:ilvl w:val="0"/>
                <w:numId w:val="34"/>
              </w:numPr>
              <w:ind w:left="455" w:hanging="28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тактика ведения в зависимости от полученных результатов обследования.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451"/>
        </w:trPr>
        <w:tc>
          <w:tcPr>
            <w:tcW w:w="1589" w:type="dxa"/>
            <w:textDirection w:val="lrTb"/>
            <w:noWrap w:val="false"/>
          </w:tcPr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45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63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079" w:type="dxa"/>
            <w:textDirection w:val="lrTb"/>
            <w:noWrap w:val="false"/>
          </w:tcPr>
          <w:p>
            <w:pPr>
              <w:spacing w:after="20" w:line="276" w:lineRule="auto"/>
              <w:shd w:val="clear" w:color="auto" w:fill="ffffff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ru-RU"/>
              </w:rPr>
              <w:t xml:space="preserve">Подведение итогов. Закрытие регионального собрания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ru-RU"/>
              </w:rPr>
            </w:r>
          </w:p>
        </w:tc>
      </w:tr>
    </w:tbl>
    <w:p>
      <w:pPr>
        <w:pStyle w:val="76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76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76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Руководитель научной программы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_______________ / Спиридонова Н.В.</w:t>
      </w:r>
      <w:r>
        <w:rPr>
          <w:rFonts w:ascii="Times New Roman" w:hAnsi="Times New Roman" w:cs="Times New Roman"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49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4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12"/>
  </w:num>
  <w:num w:numId="5">
    <w:abstractNumId w:val="13"/>
  </w:num>
  <w:num w:numId="6">
    <w:abstractNumId w:val="9"/>
  </w:num>
  <w:num w:numId="7">
    <w:abstractNumId w:val="28"/>
  </w:num>
  <w:num w:numId="8">
    <w:abstractNumId w:val="26"/>
  </w:num>
  <w:num w:numId="9">
    <w:abstractNumId w:val="33"/>
  </w:num>
  <w:num w:numId="10">
    <w:abstractNumId w:val="4"/>
  </w:num>
  <w:num w:numId="11">
    <w:abstractNumId w:val="10"/>
  </w:num>
  <w:num w:numId="12">
    <w:abstractNumId w:val="1"/>
  </w:num>
  <w:num w:numId="13">
    <w:abstractNumId w:val="32"/>
  </w:num>
  <w:num w:numId="14">
    <w:abstractNumId w:val="31"/>
  </w:num>
  <w:num w:numId="15">
    <w:abstractNumId w:val="17"/>
  </w:num>
  <w:num w:numId="16">
    <w:abstractNumId w:val="14"/>
  </w:num>
  <w:num w:numId="17">
    <w:abstractNumId w:val="5"/>
  </w:num>
  <w:num w:numId="18">
    <w:abstractNumId w:val="6"/>
  </w:num>
  <w:num w:numId="19">
    <w:abstractNumId w:val="30"/>
  </w:num>
  <w:num w:numId="20">
    <w:abstractNumId w:val="7"/>
  </w:num>
  <w:num w:numId="21">
    <w:abstractNumId w:val="8"/>
  </w:num>
  <w:num w:numId="22">
    <w:abstractNumId w:val="37"/>
  </w:num>
  <w:num w:numId="23">
    <w:abstractNumId w:val="20"/>
  </w:num>
  <w:num w:numId="24">
    <w:abstractNumId w:val="22"/>
  </w:num>
  <w:num w:numId="25">
    <w:abstractNumId w:val="19"/>
  </w:num>
  <w:num w:numId="26">
    <w:abstractNumId w:val="27"/>
  </w:num>
  <w:num w:numId="27">
    <w:abstractNumId w:val="3"/>
  </w:num>
  <w:num w:numId="28">
    <w:abstractNumId w:val="16"/>
  </w:num>
  <w:num w:numId="29">
    <w:abstractNumId w:val="21"/>
  </w:num>
  <w:num w:numId="30">
    <w:abstractNumId w:val="24"/>
  </w:num>
  <w:num w:numId="31">
    <w:abstractNumId w:val="2"/>
  </w:num>
  <w:num w:numId="32">
    <w:abstractNumId w:val="29"/>
  </w:num>
  <w:num w:numId="33">
    <w:abstractNumId w:val="38"/>
  </w:num>
  <w:num w:numId="34">
    <w:abstractNumId w:val="25"/>
  </w:num>
  <w:num w:numId="35">
    <w:abstractNumId w:val="35"/>
  </w:num>
  <w:num w:numId="36">
    <w:abstractNumId w:val="34"/>
  </w:num>
  <w:num w:numId="37">
    <w:abstractNumId w:val="23"/>
  </w:num>
  <w:num w:numId="38">
    <w:abstractNumId w:val="15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58"/>
    <w:link w:val="756"/>
    <w:uiPriority w:val="99"/>
  </w:style>
  <w:style w:type="table" w:styleId="49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  <w:pPr>
      <w:spacing w:after="0" w:line="240" w:lineRule="auto"/>
    </w:pPr>
    <w:rPr>
      <w:rFonts w:ascii="Calibri" w:hAnsi="Calibri" w:cs="Calibri"/>
      <w:lang w:eastAsia="ru-RU"/>
    </w:rPr>
  </w:style>
  <w:style w:type="paragraph" w:styleId="696">
    <w:name w:val="Heading 1"/>
    <w:basedOn w:val="695"/>
    <w:next w:val="695"/>
    <w:link w:val="775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97">
    <w:name w:val="Heading 2"/>
    <w:basedOn w:val="695"/>
    <w:next w:val="695"/>
    <w:link w:val="779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698">
    <w:name w:val="Heading 3"/>
    <w:link w:val="726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99">
    <w:name w:val="Heading 4"/>
    <w:link w:val="727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700">
    <w:name w:val="Heading 5"/>
    <w:link w:val="728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01">
    <w:name w:val="Heading 6"/>
    <w:link w:val="729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702">
    <w:name w:val="Heading 7"/>
    <w:link w:val="730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03">
    <w:name w:val="Heading 8"/>
    <w:link w:val="731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04">
    <w:name w:val="Heading 9"/>
    <w:link w:val="732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3 Char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709" w:customStyle="1">
    <w:name w:val="Heading 4 Char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710" w:customStyle="1">
    <w:name w:val="Heading 5 Char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711" w:customStyle="1">
    <w:name w:val="Heading 6 Char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712" w:customStyle="1">
    <w:name w:val="Heading 7 Char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13" w:customStyle="1">
    <w:name w:val="Heading 8 Char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714" w:customStyle="1">
    <w:name w:val="Heading 9 Char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15" w:customStyle="1">
    <w:name w:val="Title Char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716" w:customStyle="1">
    <w:name w:val="Subtitle Char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717" w:customStyle="1">
    <w:name w:val="Quote Char"/>
    <w:uiPriority w:val="29"/>
    <w:rPr>
      <w:i/>
      <w:iCs/>
      <w:color w:val="000000" w:themeColor="text1"/>
    </w:rPr>
  </w:style>
  <w:style w:type="character" w:styleId="718" w:customStyle="1">
    <w:name w:val="Intense Quote Char"/>
    <w:uiPriority w:val="30"/>
    <w:rPr>
      <w:b/>
      <w:bCs/>
      <w:i/>
      <w:iCs/>
      <w:color w:val="5b9bd5" w:themeColor="accent1"/>
    </w:rPr>
  </w:style>
  <w:style w:type="character" w:styleId="719" w:customStyle="1">
    <w:name w:val="Footnote Text Char"/>
    <w:uiPriority w:val="99"/>
    <w:semiHidden/>
    <w:rPr>
      <w:sz w:val="20"/>
      <w:szCs w:val="20"/>
    </w:rPr>
  </w:style>
  <w:style w:type="character" w:styleId="720" w:customStyle="1">
    <w:name w:val="Endnote Text Char"/>
    <w:uiPriority w:val="99"/>
    <w:semiHidden/>
    <w:rPr>
      <w:sz w:val="20"/>
      <w:szCs w:val="20"/>
    </w:rPr>
  </w:style>
  <w:style w:type="character" w:styleId="721" w:customStyle="1">
    <w:name w:val="Plain Text Char"/>
    <w:uiPriority w:val="99"/>
    <w:rPr>
      <w:rFonts w:ascii="Courier New" w:hAnsi="Courier New" w:cs="Courier New"/>
      <w:sz w:val="21"/>
      <w:szCs w:val="21"/>
    </w:rPr>
  </w:style>
  <w:style w:type="character" w:styleId="722" w:customStyle="1">
    <w:name w:val="Header Char"/>
    <w:uiPriority w:val="99"/>
  </w:style>
  <w:style w:type="character" w:styleId="723" w:customStyle="1">
    <w:name w:val="Footer Char"/>
    <w:uiPriority w:val="99"/>
  </w:style>
  <w:style w:type="character" w:styleId="724" w:customStyle="1">
    <w:name w:val="Heading 1 Char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725" w:customStyle="1">
    <w:name w:val="Heading 2 Char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726" w:customStyle="1">
    <w:name w:val="Заголовок 3 Знак"/>
    <w:link w:val="698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727" w:customStyle="1">
    <w:name w:val="Заголовок 4 Знак"/>
    <w:link w:val="699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728" w:customStyle="1">
    <w:name w:val="Заголовок 5 Знак"/>
    <w:link w:val="700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729" w:customStyle="1">
    <w:name w:val="Заголовок 6 Знак"/>
    <w:link w:val="701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730" w:customStyle="1">
    <w:name w:val="Заголовок 7 Знак"/>
    <w:link w:val="702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731" w:customStyle="1">
    <w:name w:val="Заголовок 8 Знак"/>
    <w:link w:val="703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732" w:customStyle="1">
    <w:name w:val="Заголовок 9 Знак"/>
    <w:link w:val="704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733">
    <w:name w:val="Title"/>
    <w:link w:val="734"/>
    <w:uiPriority w:val="10"/>
    <w:qFormat/>
    <w:pPr>
      <w:contextualSpacing/>
      <w:spacing w:after="300" w:line="240" w:lineRule="auto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734" w:customStyle="1">
    <w:name w:val="Заголовок Знак"/>
    <w:link w:val="733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735">
    <w:name w:val="Subtitle"/>
    <w:link w:val="736"/>
    <w:uiPriority w:val="11"/>
    <w:qFormat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736" w:customStyle="1">
    <w:name w:val="Подзаголовок Знак"/>
    <w:link w:val="735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737">
    <w:name w:val="Subtle Emphasis"/>
    <w:uiPriority w:val="19"/>
    <w:qFormat/>
    <w:rPr>
      <w:i/>
      <w:iCs/>
      <w:color w:val="808080" w:themeColor="text1" w:themeTint="7F"/>
    </w:rPr>
  </w:style>
  <w:style w:type="character" w:styleId="738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739">
    <w:name w:val="Quote"/>
    <w:link w:val="740"/>
    <w:uiPriority w:val="29"/>
    <w:qFormat/>
    <w:rPr>
      <w:i/>
      <w:iCs/>
      <w:color w:val="000000" w:themeColor="text1"/>
    </w:rPr>
  </w:style>
  <w:style w:type="character" w:styleId="740" w:customStyle="1">
    <w:name w:val="Цитата 2 Знак"/>
    <w:link w:val="739"/>
    <w:uiPriority w:val="29"/>
    <w:rPr>
      <w:i/>
      <w:iCs/>
      <w:color w:val="000000" w:themeColor="text1"/>
    </w:rPr>
  </w:style>
  <w:style w:type="paragraph" w:styleId="741">
    <w:name w:val="Intense Quote"/>
    <w:link w:val="742"/>
    <w:uiPriority w:val="30"/>
    <w:qFormat/>
    <w:pPr>
      <w:ind w:left="936" w:right="936"/>
      <w:spacing w:before="200" w:after="280"/>
      <w:pBdr>
        <w:bottom w:val="single" w:color="5B9BD5" w:themeColor="accent1" w:sz="4" w:space="4"/>
      </w:pBdr>
    </w:pPr>
    <w:rPr>
      <w:b/>
      <w:bCs/>
      <w:i/>
      <w:iCs/>
      <w:color w:val="5b9bd5" w:themeColor="accent1"/>
    </w:rPr>
  </w:style>
  <w:style w:type="character" w:styleId="742" w:customStyle="1">
    <w:name w:val="Выделенная цитата Знак"/>
    <w:link w:val="741"/>
    <w:uiPriority w:val="30"/>
    <w:rPr>
      <w:b/>
      <w:bCs/>
      <w:i/>
      <w:iCs/>
      <w:color w:val="5b9bd5" w:themeColor="accent1"/>
    </w:rPr>
  </w:style>
  <w:style w:type="character" w:styleId="743">
    <w:name w:val="Subtle Reference"/>
    <w:uiPriority w:val="31"/>
    <w:qFormat/>
    <w:rPr>
      <w:smallCaps/>
      <w:color w:val="ed7d31" w:themeColor="accent2"/>
      <w:u w:val="single"/>
    </w:rPr>
  </w:style>
  <w:style w:type="character" w:styleId="744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745">
    <w:name w:val="Book Title"/>
    <w:uiPriority w:val="33"/>
    <w:qFormat/>
    <w:rPr>
      <w:b/>
      <w:bCs/>
      <w:smallCaps/>
      <w:spacing w:val="5"/>
    </w:rPr>
  </w:style>
  <w:style w:type="paragraph" w:styleId="746">
    <w:name w:val="footnote text"/>
    <w:link w:val="74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47" w:customStyle="1">
    <w:name w:val="Текст сноски Знак"/>
    <w:link w:val="746"/>
    <w:uiPriority w:val="99"/>
    <w:semiHidden/>
    <w:rPr>
      <w:sz w:val="20"/>
      <w:szCs w:val="20"/>
    </w:rPr>
  </w:style>
  <w:style w:type="character" w:styleId="748">
    <w:name w:val="footnote reference"/>
    <w:uiPriority w:val="99"/>
    <w:semiHidden/>
    <w:unhideWhenUsed/>
    <w:rPr>
      <w:vertAlign w:val="superscript"/>
    </w:rPr>
  </w:style>
  <w:style w:type="paragraph" w:styleId="749">
    <w:name w:val="endnote text"/>
    <w:link w:val="75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50" w:customStyle="1">
    <w:name w:val="Текст концевой сноски Знак"/>
    <w:link w:val="749"/>
    <w:uiPriority w:val="99"/>
    <w:semiHidden/>
    <w:rPr>
      <w:sz w:val="20"/>
      <w:szCs w:val="20"/>
    </w:rPr>
  </w:style>
  <w:style w:type="character" w:styleId="751">
    <w:name w:val="endnote reference"/>
    <w:uiPriority w:val="99"/>
    <w:semiHidden/>
    <w:unhideWhenUsed/>
    <w:rPr>
      <w:vertAlign w:val="superscript"/>
    </w:rPr>
  </w:style>
  <w:style w:type="paragraph" w:styleId="752">
    <w:name w:val="Plain Text"/>
    <w:link w:val="75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styleId="753" w:customStyle="1">
    <w:name w:val="Текст Знак"/>
    <w:link w:val="752"/>
    <w:uiPriority w:val="99"/>
    <w:rPr>
      <w:rFonts w:ascii="Courier New" w:hAnsi="Courier New" w:cs="Courier New"/>
      <w:sz w:val="21"/>
      <w:szCs w:val="21"/>
    </w:rPr>
  </w:style>
  <w:style w:type="paragraph" w:styleId="754">
    <w:name w:val="Header"/>
    <w:link w:val="755"/>
    <w:uiPriority w:val="99"/>
    <w:unhideWhenUsed/>
    <w:pPr>
      <w:spacing w:after="0" w:line="240" w:lineRule="auto"/>
    </w:pPr>
  </w:style>
  <w:style w:type="character" w:styleId="755" w:customStyle="1">
    <w:name w:val="Верхний колонтитул Знак"/>
    <w:link w:val="754"/>
    <w:uiPriority w:val="99"/>
  </w:style>
  <w:style w:type="paragraph" w:styleId="756">
    <w:name w:val="Footer"/>
    <w:link w:val="757"/>
    <w:uiPriority w:val="99"/>
    <w:unhideWhenUsed/>
    <w:pPr>
      <w:spacing w:after="0" w:line="240" w:lineRule="auto"/>
    </w:pPr>
  </w:style>
  <w:style w:type="character" w:styleId="757" w:customStyle="1">
    <w:name w:val="Нижний колонтитул Знак"/>
    <w:link w:val="756"/>
    <w:uiPriority w:val="99"/>
  </w:style>
  <w:style w:type="paragraph" w:styleId="758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759">
    <w:name w:val="Body Text"/>
    <w:basedOn w:val="695"/>
    <w:link w:val="760"/>
    <w:uiPriority w:val="1"/>
    <w:qFormat/>
    <w:pPr>
      <w:widowControl w:val="off"/>
    </w:pPr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760" w:customStyle="1">
    <w:name w:val="Основной текст Знак"/>
    <w:basedOn w:val="705"/>
    <w:link w:val="759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761" w:customStyle="1">
    <w:name w:val="Table Paragraph"/>
    <w:basedOn w:val="695"/>
    <w:uiPriority w:val="1"/>
    <w:qFormat/>
    <w:pPr>
      <w:ind w:left="107"/>
      <w:widowControl w:val="off"/>
    </w:pPr>
    <w:rPr>
      <w:rFonts w:ascii="Times New Roman" w:hAnsi="Times New Roman" w:eastAsia="Times New Roman" w:cs="Times New Roman"/>
      <w:lang w:bidi="ru-RU"/>
    </w:rPr>
  </w:style>
  <w:style w:type="table" w:styleId="762">
    <w:name w:val="Table Grid"/>
    <w:basedOn w:val="706"/>
    <w:uiPriority w:val="5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3">
    <w:name w:val="No Spacing"/>
    <w:basedOn w:val="695"/>
    <w:link w:val="767"/>
    <w:uiPriority w:val="1"/>
    <w:qFormat/>
  </w:style>
  <w:style w:type="character" w:styleId="764">
    <w:name w:val="Strong"/>
    <w:basedOn w:val="705"/>
    <w:uiPriority w:val="22"/>
    <w:qFormat/>
    <w:rPr>
      <w:b/>
      <w:bCs/>
    </w:rPr>
  </w:style>
  <w:style w:type="paragraph" w:styleId="765" w:customStyle="1">
    <w:name w:val="Default"/>
    <w:basedOn w:val="695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766">
    <w:name w:val="Normal (Web)"/>
    <w:basedOn w:val="695"/>
    <w:uiPriority w:val="99"/>
    <w:unhideWhenUsed/>
    <w:pPr>
      <w:spacing w:before="100" w:after="100"/>
    </w:pPr>
    <w:rPr>
      <w:rFonts w:ascii="Times New Roman" w:hAnsi="Times New Roman" w:eastAsia="Calibri" w:cs="Times New Roman"/>
      <w:sz w:val="24"/>
      <w:szCs w:val="24"/>
    </w:rPr>
  </w:style>
  <w:style w:type="character" w:styleId="767" w:customStyle="1">
    <w:name w:val="Без интервала Знак"/>
    <w:basedOn w:val="705"/>
    <w:link w:val="763"/>
    <w:uiPriority w:val="1"/>
    <w:rPr>
      <w:rFonts w:ascii="Calibri" w:hAnsi="Calibri" w:cs="Calibri"/>
      <w:lang w:eastAsia="ru-RU"/>
    </w:rPr>
  </w:style>
  <w:style w:type="character" w:styleId="768">
    <w:name w:val="annotation reference"/>
    <w:basedOn w:val="705"/>
    <w:uiPriority w:val="99"/>
    <w:semiHidden/>
    <w:unhideWhenUsed/>
    <w:rPr>
      <w:sz w:val="16"/>
      <w:szCs w:val="16"/>
    </w:rPr>
  </w:style>
  <w:style w:type="paragraph" w:styleId="769">
    <w:name w:val="annotation text"/>
    <w:basedOn w:val="695"/>
    <w:link w:val="770"/>
    <w:uiPriority w:val="99"/>
    <w:unhideWhenUsed/>
    <w:rPr>
      <w:sz w:val="20"/>
      <w:szCs w:val="20"/>
    </w:rPr>
  </w:style>
  <w:style w:type="character" w:styleId="770" w:customStyle="1">
    <w:name w:val="Текст примечания Знак"/>
    <w:basedOn w:val="705"/>
    <w:link w:val="769"/>
    <w:uiPriority w:val="99"/>
    <w:rPr>
      <w:rFonts w:ascii="Calibri" w:hAnsi="Calibri" w:cs="Calibri"/>
      <w:sz w:val="20"/>
      <w:szCs w:val="20"/>
      <w:lang w:eastAsia="ru-RU"/>
    </w:rPr>
  </w:style>
  <w:style w:type="paragraph" w:styleId="771">
    <w:name w:val="annotation subject"/>
    <w:basedOn w:val="769"/>
    <w:next w:val="769"/>
    <w:link w:val="772"/>
    <w:uiPriority w:val="99"/>
    <w:semiHidden/>
    <w:unhideWhenUsed/>
    <w:rPr>
      <w:b/>
      <w:bCs/>
    </w:rPr>
  </w:style>
  <w:style w:type="character" w:styleId="772" w:customStyle="1">
    <w:name w:val="Тема примечания Знак"/>
    <w:basedOn w:val="770"/>
    <w:link w:val="771"/>
    <w:uiPriority w:val="99"/>
    <w:semiHidden/>
    <w:rPr>
      <w:rFonts w:ascii="Calibri" w:hAnsi="Calibri" w:cs="Calibri"/>
      <w:b/>
      <w:bCs/>
      <w:sz w:val="20"/>
      <w:szCs w:val="20"/>
      <w:lang w:eastAsia="ru-RU"/>
    </w:rPr>
  </w:style>
  <w:style w:type="paragraph" w:styleId="773">
    <w:name w:val="Balloon Text"/>
    <w:basedOn w:val="695"/>
    <w:link w:val="774"/>
    <w:uiPriority w:val="99"/>
    <w:semiHidden/>
    <w:unhideWhenUsed/>
    <w:rPr>
      <w:rFonts w:ascii="Tahoma" w:hAnsi="Tahoma" w:cs="Tahoma"/>
      <w:sz w:val="16"/>
      <w:szCs w:val="16"/>
    </w:rPr>
  </w:style>
  <w:style w:type="character" w:styleId="774" w:customStyle="1">
    <w:name w:val="Текст выноски Знак"/>
    <w:basedOn w:val="705"/>
    <w:link w:val="773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775" w:customStyle="1">
    <w:name w:val="Заголовок 1 Знак"/>
    <w:basedOn w:val="705"/>
    <w:link w:val="696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776">
    <w:name w:val="Hyperlink"/>
    <w:basedOn w:val="705"/>
    <w:uiPriority w:val="99"/>
    <w:unhideWhenUsed/>
    <w:rPr>
      <w:color w:val="0563c1" w:themeColor="hyperlink"/>
      <w:u w:val="single"/>
    </w:rPr>
  </w:style>
  <w:style w:type="paragraph" w:styleId="777">
    <w:name w:val="List Paragraph"/>
    <w:basedOn w:val="695"/>
    <w:link w:val="787"/>
    <w:uiPriority w:val="34"/>
    <w:qFormat/>
    <w:pPr>
      <w:contextualSpacing/>
      <w:ind w:left="720"/>
    </w:pPr>
  </w:style>
  <w:style w:type="character" w:styleId="778">
    <w:name w:val="Emphasis"/>
    <w:basedOn w:val="705"/>
    <w:uiPriority w:val="20"/>
    <w:qFormat/>
    <w:rPr>
      <w:i/>
      <w:iCs/>
    </w:rPr>
  </w:style>
  <w:style w:type="character" w:styleId="779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character" w:styleId="780" w:customStyle="1">
    <w:name w:val="Bx-messenger-content-item-text-message"/>
    <w:basedOn w:val="705"/>
    <w:uiPriority w:val="99"/>
  </w:style>
  <w:style w:type="character" w:styleId="781" w:customStyle="1">
    <w:name w:val="Bx-messenger-message"/>
    <w:basedOn w:val="705"/>
    <w:uiPriority w:val="99"/>
  </w:style>
  <w:style w:type="character" w:styleId="782" w:customStyle="1">
    <w:name w:val="Bx-messenger-content-item-like"/>
    <w:basedOn w:val="705"/>
    <w:uiPriority w:val="99"/>
  </w:style>
  <w:style w:type="character" w:styleId="783" w:customStyle="1">
    <w:name w:val="Bx-messenger-content-like-button"/>
    <w:basedOn w:val="705"/>
    <w:uiPriority w:val="99"/>
  </w:style>
  <w:style w:type="character" w:styleId="784" w:customStyle="1">
    <w:name w:val="Bx-messenger-content-item-date"/>
    <w:basedOn w:val="705"/>
    <w:uiPriority w:val="99"/>
  </w:style>
  <w:style w:type="character" w:styleId="785" w:customStyle="1">
    <w:name w:val="Bx-messenger-ajax"/>
    <w:basedOn w:val="705"/>
    <w:uiPriority w:val="99"/>
  </w:style>
  <w:style w:type="character" w:styleId="786" w:customStyle="1">
    <w:name w:val="Неразрешенное упоминание1"/>
    <w:basedOn w:val="705"/>
    <w:uiPriority w:val="99"/>
    <w:semiHidden/>
    <w:unhideWhenUsed/>
    <w:rPr>
      <w:color w:val="605e5c"/>
      <w:shd w:val="clear" w:color="auto" w:fill="e1dfdd"/>
    </w:rPr>
  </w:style>
  <w:style w:type="character" w:styleId="787" w:customStyle="1">
    <w:name w:val="Абзац списка Знак"/>
    <w:basedOn w:val="705"/>
    <w:link w:val="777"/>
    <w:uiPriority w:val="34"/>
    <w:rPr>
      <w:rFonts w:ascii="Calibri" w:hAnsi="Calibri" w:cs="Calibri"/>
      <w:lang w:eastAsia="ru-RU"/>
    </w:rPr>
  </w:style>
  <w:style w:type="character" w:styleId="788" w:customStyle="1">
    <w:name w:val="Неразрешенное упоминание2"/>
    <w:basedOn w:val="705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ynecology.school/events/regionalnoe-sobranie-akusherov-ginekologov-pri-podderzhke-roa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Гречишкина Мария</cp:lastModifiedBy>
  <cp:revision>15</cp:revision>
  <dcterms:created xsi:type="dcterms:W3CDTF">2024-10-10T12:29:00Z</dcterms:created>
  <dcterms:modified xsi:type="dcterms:W3CDTF">2024-10-11T08:50:57Z</dcterms:modified>
</cp:coreProperties>
</file>